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4033" w14:textId="26785248" w:rsidR="00820243" w:rsidRPr="00FC099F" w:rsidRDefault="00FC099F" w:rsidP="00820243">
      <w:pPr>
        <w:rPr>
          <w:rFonts w:ascii="Arial" w:hAnsi="Arial" w:cs="Arial"/>
          <w:b/>
          <w:bCs/>
          <w:lang w:val="en-US"/>
        </w:rPr>
      </w:pPr>
      <w:r w:rsidRPr="00F6132F">
        <w:rPr>
          <w:rFonts w:ascii="Arial" w:hAnsi="Arial" w:cs="Arial"/>
          <w:b/>
          <w:bCs/>
          <w:lang w:val="en-US"/>
        </w:rPr>
        <w:t>NOT TOO MANY TEARS IN</w:t>
      </w:r>
      <w:r w:rsidRPr="00FC099F">
        <w:rPr>
          <w:rFonts w:ascii="Arial" w:hAnsi="Arial" w:cs="Arial"/>
          <w:b/>
          <w:bCs/>
          <w:lang w:val="en-US"/>
        </w:rPr>
        <w:t xml:space="preserve"> </w:t>
      </w:r>
      <w:r w:rsidRPr="00F6132F">
        <w:rPr>
          <w:rFonts w:ascii="Arial" w:hAnsi="Arial" w:cs="Arial"/>
          <w:b/>
          <w:bCs/>
          <w:lang w:val="en-US"/>
        </w:rPr>
        <w:t>SAYING GOODBYE</w:t>
      </w:r>
    </w:p>
    <w:p w14:paraId="449AF3B3" w14:textId="6DCA6AD3" w:rsidR="00820243" w:rsidRPr="00F6132F" w:rsidRDefault="00820243" w:rsidP="00820243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Thungela’s unbundling experience offers some</w:t>
      </w:r>
      <w:r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 xml:space="preserve">encouraging lessons for </w:t>
      </w:r>
      <w:proofErr w:type="spellStart"/>
      <w:r w:rsidRPr="00F6132F">
        <w:rPr>
          <w:rFonts w:ascii="Arial" w:hAnsi="Arial" w:cs="Arial"/>
          <w:lang w:val="en-US"/>
        </w:rPr>
        <w:t>Valterra</w:t>
      </w:r>
      <w:proofErr w:type="spellEnd"/>
    </w:p>
    <w:p w14:paraId="79B7D86D" w14:textId="77777777" w:rsidR="00820243" w:rsidRPr="00FC099F" w:rsidRDefault="00820243" w:rsidP="00820243">
      <w:pPr>
        <w:rPr>
          <w:rFonts w:ascii="Arial" w:hAnsi="Arial" w:cs="Arial"/>
          <w:b/>
          <w:bCs/>
          <w:lang w:val="en-US"/>
        </w:rPr>
      </w:pPr>
    </w:p>
    <w:p w14:paraId="413B9B2B" w14:textId="58FB4EA4" w:rsidR="00820243" w:rsidRPr="00F6132F" w:rsidRDefault="00820243" w:rsidP="00820243">
      <w:pPr>
        <w:rPr>
          <w:rFonts w:ascii="Arial" w:hAnsi="Arial" w:cs="Arial"/>
          <w:lang w:val="en-US"/>
        </w:rPr>
      </w:pPr>
      <w:r w:rsidRPr="00FC099F">
        <w:rPr>
          <w:rFonts w:ascii="Arial" w:hAnsi="Arial" w:cs="Arial"/>
          <w:b/>
          <w:bCs/>
          <w:lang w:val="en-US"/>
        </w:rPr>
        <w:t xml:space="preserve">Written by </w:t>
      </w:r>
      <w:r w:rsidRPr="00F6132F">
        <w:rPr>
          <w:rFonts w:ascii="Arial" w:hAnsi="Arial" w:cs="Arial"/>
          <w:b/>
          <w:bCs/>
          <w:lang w:val="en-US"/>
        </w:rPr>
        <w:t>H</w:t>
      </w:r>
      <w:r w:rsidRPr="00FC099F">
        <w:rPr>
          <w:rFonts w:ascii="Arial" w:hAnsi="Arial" w:cs="Arial"/>
          <w:b/>
          <w:bCs/>
          <w:lang w:val="en-US"/>
        </w:rPr>
        <w:t xml:space="preserve">ilary </w:t>
      </w:r>
      <w:r w:rsidRPr="00F6132F">
        <w:rPr>
          <w:rFonts w:ascii="Arial" w:hAnsi="Arial" w:cs="Arial"/>
          <w:b/>
          <w:bCs/>
          <w:lang w:val="en-US"/>
        </w:rPr>
        <w:t>J</w:t>
      </w:r>
      <w:r w:rsidRPr="00FC099F">
        <w:rPr>
          <w:rFonts w:ascii="Arial" w:hAnsi="Arial" w:cs="Arial"/>
          <w:b/>
          <w:bCs/>
          <w:lang w:val="en-US"/>
        </w:rPr>
        <w:t>offe</w:t>
      </w:r>
      <w:r w:rsidRPr="00F6132F">
        <w:rPr>
          <w:rFonts w:ascii="Arial" w:hAnsi="Arial" w:cs="Arial"/>
          <w:b/>
          <w:bCs/>
          <w:lang w:val="en-US"/>
        </w:rPr>
        <w:t>:</w:t>
      </w:r>
      <w:r w:rsidRPr="00FC099F">
        <w:rPr>
          <w:rFonts w:ascii="Arial" w:hAnsi="Arial" w:cs="Arial"/>
          <w:b/>
          <w:bCs/>
          <w:lang w:val="en-US"/>
        </w:rPr>
        <w:t xml:space="preserve"> Opinion/Columnist - </w:t>
      </w:r>
      <w:r w:rsidRPr="00F6132F">
        <w:rPr>
          <w:rFonts w:ascii="Arial" w:hAnsi="Arial" w:cs="Arial"/>
          <w:lang w:val="en-US"/>
        </w:rPr>
        <w:t>6 J</w:t>
      </w:r>
      <w:r w:rsidRPr="00FC099F">
        <w:rPr>
          <w:rFonts w:ascii="Arial" w:hAnsi="Arial" w:cs="Arial"/>
          <w:lang w:val="en-US"/>
        </w:rPr>
        <w:t>une</w:t>
      </w:r>
      <w:r w:rsidRPr="00F6132F">
        <w:rPr>
          <w:rFonts w:ascii="Arial" w:hAnsi="Arial" w:cs="Arial"/>
          <w:lang w:val="en-US"/>
        </w:rPr>
        <w:t xml:space="preserve"> 2025 - 05:00</w:t>
      </w:r>
    </w:p>
    <w:p w14:paraId="7F66C63C" w14:textId="1EDDEC04" w:rsidR="00820243" w:rsidRPr="00F6132F" w:rsidRDefault="00820243" w:rsidP="00820243">
      <w:pPr>
        <w:rPr>
          <w:rFonts w:ascii="Arial" w:hAnsi="Arial" w:cs="Arial"/>
          <w:b/>
          <w:bCs/>
          <w:lang w:val="en-US"/>
        </w:rPr>
      </w:pPr>
    </w:p>
    <w:p w14:paraId="38E68945" w14:textId="13C9B2DF" w:rsidR="00F6132F" w:rsidRPr="00F6132F" w:rsidRDefault="00820243" w:rsidP="00F6132F">
      <w:pPr>
        <w:rPr>
          <w:rFonts w:ascii="Arial" w:hAnsi="Arial" w:cs="Arial"/>
          <w:lang w:val="en-US"/>
        </w:rPr>
      </w:pPr>
      <w:r w:rsidRPr="00FC099F">
        <w:rPr>
          <w:rFonts w:ascii="Arial" w:hAnsi="Arial" w:cs="Arial"/>
          <w:highlight w:val="yellow"/>
          <w:lang w:val="en-US"/>
        </w:rPr>
        <w:t xml:space="preserve">Image caption: </w:t>
      </w:r>
      <w:r w:rsidR="00F6132F" w:rsidRPr="00F6132F">
        <w:rPr>
          <w:rFonts w:ascii="Arial" w:hAnsi="Arial" w:cs="Arial"/>
          <w:highlight w:val="yellow"/>
          <w:lang w:val="en-US"/>
        </w:rPr>
        <w:t>Thungela CEO July Ndlovu. Picture: G</w:t>
      </w:r>
      <w:r w:rsidRPr="00FC099F">
        <w:rPr>
          <w:rFonts w:ascii="Arial" w:hAnsi="Arial" w:cs="Arial"/>
          <w:highlight w:val="yellow"/>
          <w:lang w:val="en-US"/>
        </w:rPr>
        <w:t>eoff</w:t>
      </w:r>
      <w:r w:rsidR="00F6132F" w:rsidRPr="00F6132F">
        <w:rPr>
          <w:rFonts w:ascii="Arial" w:hAnsi="Arial" w:cs="Arial"/>
          <w:highlight w:val="yellow"/>
          <w:lang w:val="en-US"/>
        </w:rPr>
        <w:t xml:space="preserve"> B</w:t>
      </w:r>
      <w:r w:rsidRPr="00FC099F">
        <w:rPr>
          <w:rFonts w:ascii="Arial" w:hAnsi="Arial" w:cs="Arial"/>
          <w:highlight w:val="yellow"/>
          <w:lang w:val="en-US"/>
        </w:rPr>
        <w:t>rown</w:t>
      </w:r>
    </w:p>
    <w:p w14:paraId="1A9CCAF9" w14:textId="416E0615" w:rsidR="00F6132F" w:rsidRPr="00F6132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 xml:space="preserve">It was a tale of two demergers. </w:t>
      </w:r>
      <w:proofErr w:type="spellStart"/>
      <w:r w:rsidRPr="00F6132F">
        <w:rPr>
          <w:rFonts w:ascii="Arial" w:hAnsi="Arial" w:cs="Arial"/>
          <w:lang w:val="en-US"/>
        </w:rPr>
        <w:t>Valterra</w:t>
      </w:r>
      <w:proofErr w:type="spellEnd"/>
      <w:r w:rsidRPr="00F6132F">
        <w:rPr>
          <w:rFonts w:ascii="Arial" w:hAnsi="Arial" w:cs="Arial"/>
          <w:lang w:val="en-US"/>
        </w:rPr>
        <w:t xml:space="preserve"> Platinum was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set free from Anglo American at the weekend, almost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exactly four years after Thungela Coal was similarly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liberated in 2021.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 xml:space="preserve">The </w:t>
      </w:r>
      <w:proofErr w:type="spellStart"/>
      <w:r w:rsidRPr="00F6132F">
        <w:rPr>
          <w:rFonts w:ascii="Arial" w:hAnsi="Arial" w:cs="Arial"/>
          <w:lang w:val="en-US"/>
        </w:rPr>
        <w:t>unbundlings</w:t>
      </w:r>
      <w:proofErr w:type="spellEnd"/>
      <w:r w:rsidRPr="00F6132F">
        <w:rPr>
          <w:rFonts w:ascii="Arial" w:hAnsi="Arial" w:cs="Arial"/>
          <w:lang w:val="en-US"/>
        </w:rPr>
        <w:t xml:space="preserve"> of the former </w:t>
      </w:r>
      <w:proofErr w:type="gramStart"/>
      <w:r w:rsidRPr="00F6132F">
        <w:rPr>
          <w:rFonts w:ascii="Arial" w:hAnsi="Arial" w:cs="Arial"/>
          <w:lang w:val="en-US"/>
        </w:rPr>
        <w:t>Anglo American</w:t>
      </w:r>
      <w:proofErr w:type="gramEnd"/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 xml:space="preserve">Platinum, now </w:t>
      </w:r>
      <w:proofErr w:type="spellStart"/>
      <w:r w:rsidRPr="00F6132F">
        <w:rPr>
          <w:rFonts w:ascii="Arial" w:hAnsi="Arial" w:cs="Arial"/>
          <w:lang w:val="en-US"/>
        </w:rPr>
        <w:t>Valterra</w:t>
      </w:r>
      <w:proofErr w:type="spellEnd"/>
      <w:r w:rsidRPr="00F6132F">
        <w:rPr>
          <w:rFonts w:ascii="Arial" w:hAnsi="Arial" w:cs="Arial"/>
          <w:lang w:val="en-US"/>
        </w:rPr>
        <w:t xml:space="preserve">, and the former </w:t>
      </w:r>
      <w:proofErr w:type="gramStart"/>
      <w:r w:rsidRPr="00F6132F">
        <w:rPr>
          <w:rFonts w:ascii="Arial" w:hAnsi="Arial" w:cs="Arial"/>
          <w:lang w:val="en-US"/>
        </w:rPr>
        <w:t>Anglo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American</w:t>
      </w:r>
      <w:proofErr w:type="gramEnd"/>
      <w:r w:rsidRPr="00F6132F">
        <w:rPr>
          <w:rFonts w:ascii="Arial" w:hAnsi="Arial" w:cs="Arial"/>
          <w:lang w:val="en-US"/>
        </w:rPr>
        <w:t xml:space="preserve"> Coal, now Thungela, were different in some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key respects.</w:t>
      </w:r>
    </w:p>
    <w:p w14:paraId="349E2217" w14:textId="16A1CC7A" w:rsidR="00F6132F" w:rsidRPr="00F6132F" w:rsidRDefault="00F6132F" w:rsidP="00F6132F">
      <w:pPr>
        <w:rPr>
          <w:rFonts w:ascii="Arial" w:hAnsi="Arial" w:cs="Arial"/>
          <w:lang w:val="en-US"/>
        </w:rPr>
      </w:pPr>
      <w:proofErr w:type="spellStart"/>
      <w:r w:rsidRPr="00F6132F">
        <w:rPr>
          <w:rFonts w:ascii="Arial" w:hAnsi="Arial" w:cs="Arial"/>
          <w:lang w:val="en-US"/>
        </w:rPr>
        <w:t>Valterra</w:t>
      </w:r>
      <w:proofErr w:type="spellEnd"/>
      <w:r w:rsidRPr="00F6132F">
        <w:rPr>
          <w:rFonts w:ascii="Arial" w:hAnsi="Arial" w:cs="Arial"/>
          <w:lang w:val="en-US"/>
        </w:rPr>
        <w:t xml:space="preserve"> has a market value of about R200bn,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whereas Thungela’s market value on day one was</w:t>
      </w:r>
    </w:p>
    <w:p w14:paraId="6A8F16BC" w14:textId="014FE5AE" w:rsidR="00F6132F" w:rsidRPr="00F6132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R3bn (it’s now R18bn-R20bn). Where Anglo exited its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coal business because of shareholder pressure on all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global miners to shed their fossil fuel assets, the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group’s decision to exit its rich platinum group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metals (PGMs) asset was part of a “portfolio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simplification” it embarked on to unlock value for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 xml:space="preserve">shareholders </w:t>
      </w:r>
      <w:proofErr w:type="gramStart"/>
      <w:r w:rsidRPr="00F6132F">
        <w:rPr>
          <w:rFonts w:ascii="Arial" w:hAnsi="Arial" w:cs="Arial"/>
          <w:lang w:val="en-US"/>
        </w:rPr>
        <w:t>in the midst of</w:t>
      </w:r>
      <w:proofErr w:type="gramEnd"/>
      <w:r w:rsidRPr="00F6132F">
        <w:rPr>
          <w:rFonts w:ascii="Arial" w:hAnsi="Arial" w:cs="Arial"/>
          <w:lang w:val="en-US"/>
        </w:rPr>
        <w:t xml:space="preserve"> a hostile bid by rival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BHP.</w:t>
      </w:r>
    </w:p>
    <w:p w14:paraId="5EBDFE4F" w14:textId="77777777" w:rsidR="00FC099F" w:rsidRPr="00FC099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Anglo injected R2.5bn into Thungela to ensure it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could go out on its own with a debt-free balance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sheet. By contrast, Anglo stripped more than R11bn of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cash as a special dividend from its platinum business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as it prepared to exit.</w:t>
      </w:r>
      <w:r w:rsidR="00820243" w:rsidRPr="00FC099F">
        <w:rPr>
          <w:rFonts w:ascii="Arial" w:hAnsi="Arial" w:cs="Arial"/>
          <w:lang w:val="en-US"/>
        </w:rPr>
        <w:t xml:space="preserve"> </w:t>
      </w:r>
    </w:p>
    <w:p w14:paraId="6436ACEB" w14:textId="62407B10" w:rsidR="00F6132F" w:rsidRPr="00F6132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Yet Thungela’s experience offers some encouraging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lessons for its former Anglo sibling. It also raises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some interesting questions about the risks and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rewards of independence, as well as the fads and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fashions of commodity cycles.</w:t>
      </w:r>
    </w:p>
    <w:p w14:paraId="7781AAAA" w14:textId="5FA5DC97" w:rsidR="00F6132F" w:rsidRPr="00F6132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Fear of flowback featured in both demergers — Anglo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has distributed the bulk of its platinum shares to its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shareholders, just as it distributed coal shares to its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shareholders four years ago, with the risk that some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of those shareholders would be unwilling or unable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to hold on to the shares and would sell, weighing on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the price.</w:t>
      </w:r>
    </w:p>
    <w:p w14:paraId="273900FF" w14:textId="1602E57C" w:rsidR="00F6132F" w:rsidRPr="00F6132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In Thungela’s case the flowback fears never really</w:t>
      </w:r>
      <w:r w:rsidR="00820243" w:rsidRPr="00FC099F">
        <w:rPr>
          <w:rFonts w:ascii="Arial" w:hAnsi="Arial" w:cs="Arial"/>
          <w:lang w:val="en-US"/>
        </w:rPr>
        <w:t xml:space="preserve"> </w:t>
      </w:r>
      <w:proofErr w:type="spellStart"/>
      <w:r w:rsidRPr="00F6132F">
        <w:rPr>
          <w:rFonts w:ascii="Arial" w:hAnsi="Arial" w:cs="Arial"/>
          <w:lang w:val="en-US"/>
        </w:rPr>
        <w:t>materialised</w:t>
      </w:r>
      <w:proofErr w:type="spellEnd"/>
      <w:r w:rsidRPr="00F6132F">
        <w:rPr>
          <w:rFonts w:ascii="Arial" w:hAnsi="Arial" w:cs="Arial"/>
          <w:lang w:val="en-US"/>
        </w:rPr>
        <w:t xml:space="preserve">: </w:t>
      </w:r>
      <w:proofErr w:type="gramStart"/>
      <w:r w:rsidRPr="00F6132F">
        <w:rPr>
          <w:rFonts w:ascii="Arial" w:hAnsi="Arial" w:cs="Arial"/>
          <w:lang w:val="en-US"/>
        </w:rPr>
        <w:t>instead</w:t>
      </w:r>
      <w:proofErr w:type="gramEnd"/>
      <w:r w:rsidRPr="00F6132F">
        <w:rPr>
          <w:rFonts w:ascii="Arial" w:hAnsi="Arial" w:cs="Arial"/>
          <w:lang w:val="en-US"/>
        </w:rPr>
        <w:t xml:space="preserve"> the company’s mix of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shareholders shifted, with selling by Europeans and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buying by US investors, who now hold more than a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third of the shares. “Actually, we now have a far more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sophisticated shareholder base who understand the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story of coal,” said CEO July Ndlovu.</w:t>
      </w:r>
    </w:p>
    <w:p w14:paraId="4B3BAC25" w14:textId="77777777" w:rsidR="00FC099F" w:rsidRPr="00FC099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Nor did the coal story turn out to be as short as the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green lobby hoped, and many in the market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expected. Four years on, it’s clear the energy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transition is happening more slowly, and in a more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variegated way, than most expected.</w:t>
      </w:r>
      <w:r w:rsidR="00820243" w:rsidRPr="00FC099F">
        <w:rPr>
          <w:rFonts w:ascii="Arial" w:hAnsi="Arial" w:cs="Arial"/>
          <w:lang w:val="en-US"/>
        </w:rPr>
        <w:t xml:space="preserve"> </w:t>
      </w:r>
    </w:p>
    <w:p w14:paraId="1E192A29" w14:textId="77777777" w:rsidR="00FC099F" w:rsidRPr="00FC099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As Ndlovu puts it, the transition away from coal to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renewable energy has been rapid in the global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northwest — Europe and the US — but demand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continues to grow in emerging markets such as India,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China, Vietnam and Indonesia. The story of coal has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 xml:space="preserve">become an emerging markets </w:t>
      </w:r>
      <w:proofErr w:type="gramStart"/>
      <w:r w:rsidRPr="00F6132F">
        <w:rPr>
          <w:rFonts w:ascii="Arial" w:hAnsi="Arial" w:cs="Arial"/>
          <w:lang w:val="en-US"/>
        </w:rPr>
        <w:t>story</w:t>
      </w:r>
      <w:proofErr w:type="gramEnd"/>
      <w:r w:rsidRPr="00F6132F">
        <w:rPr>
          <w:rFonts w:ascii="Arial" w:hAnsi="Arial" w:cs="Arial"/>
          <w:lang w:val="en-US"/>
        </w:rPr>
        <w:t xml:space="preserve"> and we still don’t</w:t>
      </w:r>
      <w:r w:rsidR="00820243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know when “peak coal” will be, said Ndlovu.</w:t>
      </w:r>
      <w:r w:rsidR="00FC099F" w:rsidRPr="00FC099F">
        <w:rPr>
          <w:rFonts w:ascii="Arial" w:hAnsi="Arial" w:cs="Arial"/>
          <w:lang w:val="en-US"/>
        </w:rPr>
        <w:t xml:space="preserve"> </w:t>
      </w:r>
    </w:p>
    <w:p w14:paraId="51900831" w14:textId="5A2184ED" w:rsidR="00F6132F" w:rsidRPr="00F6132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lastRenderedPageBreak/>
        <w:t>Thungela insisted from the start that demand for coal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would hold for a while; it didn’t bargain on Russia’s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invasion of the Ukraine sending the coal price crazy,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along with the company’s share price, not long after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the listing. Trouble was this served to remind China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 xml:space="preserve">and India of their vulnerability, </w:t>
      </w:r>
      <w:proofErr w:type="gramStart"/>
      <w:r w:rsidRPr="00F6132F">
        <w:rPr>
          <w:rFonts w:ascii="Arial" w:hAnsi="Arial" w:cs="Arial"/>
          <w:lang w:val="en-US"/>
        </w:rPr>
        <w:t>as a result of</w:t>
      </w:r>
      <w:proofErr w:type="gramEnd"/>
      <w:r w:rsidRPr="00F6132F">
        <w:rPr>
          <w:rFonts w:ascii="Arial" w:hAnsi="Arial" w:cs="Arial"/>
          <w:lang w:val="en-US"/>
        </w:rPr>
        <w:t xml:space="preserve"> which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they upped their in-country production. That has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 xml:space="preserve">dragged coal prices down to </w:t>
      </w:r>
      <w:proofErr w:type="gramStart"/>
      <w:r w:rsidRPr="00F6132F">
        <w:rPr>
          <w:rFonts w:ascii="Arial" w:hAnsi="Arial" w:cs="Arial"/>
          <w:lang w:val="en-US"/>
        </w:rPr>
        <w:t>four year</w:t>
      </w:r>
      <w:proofErr w:type="gramEnd"/>
      <w:r w:rsidRPr="00F6132F">
        <w:rPr>
          <w:rFonts w:ascii="Arial" w:hAnsi="Arial" w:cs="Arial"/>
          <w:lang w:val="en-US"/>
        </w:rPr>
        <w:t xml:space="preserve"> lows, even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though demand for export coal — the market in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which Thungela plays — has held steady. And Ndlovu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still sees robust longer-term fundamentals.</w:t>
      </w:r>
    </w:p>
    <w:p w14:paraId="19F94FDA" w14:textId="77777777" w:rsidR="00FC099F" w:rsidRPr="00FC099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Unlike rivals that diversified into renewable energy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or critical minerals, Thungela made a strategic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decision to stick to its knitting in coal, buying and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turning around a mine in Australia and investing to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expand existing SA mines. Over its four years as an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 xml:space="preserve">independent </w:t>
      </w:r>
      <w:proofErr w:type="gramStart"/>
      <w:r w:rsidRPr="00F6132F">
        <w:rPr>
          <w:rFonts w:ascii="Arial" w:hAnsi="Arial" w:cs="Arial"/>
          <w:lang w:val="en-US"/>
        </w:rPr>
        <w:t>company</w:t>
      </w:r>
      <w:proofErr w:type="gramEnd"/>
      <w:r w:rsidRPr="00F6132F">
        <w:rPr>
          <w:rFonts w:ascii="Arial" w:hAnsi="Arial" w:cs="Arial"/>
          <w:lang w:val="en-US"/>
        </w:rPr>
        <w:t xml:space="preserve"> it has given R22bn back to its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shareholders in dividends and buybacks while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investing R10bn in expansion, and it still has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significant cash on its balance sheet.</w:t>
      </w:r>
      <w:r w:rsidR="00FC099F" w:rsidRPr="00FC099F">
        <w:rPr>
          <w:rFonts w:ascii="Arial" w:hAnsi="Arial" w:cs="Arial"/>
          <w:lang w:val="en-US"/>
        </w:rPr>
        <w:t xml:space="preserve"> </w:t>
      </w:r>
    </w:p>
    <w:p w14:paraId="3D5FFB9C" w14:textId="02C6A6CA" w:rsidR="00F6132F" w:rsidRPr="00F6132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Historically, Anglo was the big parent with a strong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balance sheet that could invest in expanding its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subsidiaries. But that also meant those subsidiaries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had to compete for capital with whatever project was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in vogue at the time. Thungela’s story suggests it’s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done a better job of allocating capital for growth than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its former parent would have done.</w:t>
      </w:r>
    </w:p>
    <w:p w14:paraId="696DA73B" w14:textId="35F49360" w:rsidR="00F6132F" w:rsidRPr="00F6132F" w:rsidRDefault="00F6132F" w:rsidP="00F6132F">
      <w:pPr>
        <w:rPr>
          <w:rFonts w:ascii="Arial" w:hAnsi="Arial" w:cs="Arial"/>
          <w:lang w:val="en-US"/>
        </w:rPr>
      </w:pPr>
      <w:proofErr w:type="spellStart"/>
      <w:r w:rsidRPr="00F6132F">
        <w:rPr>
          <w:rFonts w:ascii="Arial" w:hAnsi="Arial" w:cs="Arial"/>
          <w:lang w:val="en-US"/>
        </w:rPr>
        <w:t>Valterra</w:t>
      </w:r>
      <w:proofErr w:type="spellEnd"/>
      <w:r w:rsidRPr="00F6132F">
        <w:rPr>
          <w:rFonts w:ascii="Arial" w:hAnsi="Arial" w:cs="Arial"/>
          <w:lang w:val="en-US"/>
        </w:rPr>
        <w:t xml:space="preserve"> may well prove that too, just as the nuances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of the energy transition suggest its PGMs’ future may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be brighter than Anglo bargained for when it opted</w:t>
      </w:r>
      <w:r w:rsidR="00FC099F" w:rsidRPr="00FC099F">
        <w:rPr>
          <w:rFonts w:ascii="Arial" w:hAnsi="Arial" w:cs="Arial"/>
          <w:lang w:val="en-US"/>
        </w:rPr>
        <w:t xml:space="preserve"> </w:t>
      </w:r>
      <w:r w:rsidRPr="00F6132F">
        <w:rPr>
          <w:rFonts w:ascii="Arial" w:hAnsi="Arial" w:cs="Arial"/>
          <w:lang w:val="en-US"/>
        </w:rPr>
        <w:t>to divest.</w:t>
      </w:r>
    </w:p>
    <w:p w14:paraId="2EB5712E" w14:textId="77777777" w:rsidR="00F6132F" w:rsidRPr="00F6132F" w:rsidRDefault="00F6132F" w:rsidP="00F6132F">
      <w:pPr>
        <w:rPr>
          <w:rFonts w:ascii="Arial" w:hAnsi="Arial" w:cs="Arial"/>
          <w:lang w:val="en-US"/>
        </w:rPr>
      </w:pPr>
      <w:r w:rsidRPr="00F6132F">
        <w:rPr>
          <w:rFonts w:ascii="Arial" w:hAnsi="Arial" w:cs="Arial"/>
          <w:lang w:val="en-US"/>
        </w:rPr>
        <w:t>• Joffe is editor-at-large.</w:t>
      </w:r>
    </w:p>
    <w:sectPr w:rsidR="00F6132F" w:rsidRPr="00F6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2F"/>
    <w:rsid w:val="00022288"/>
    <w:rsid w:val="00177BD8"/>
    <w:rsid w:val="002A556E"/>
    <w:rsid w:val="00820243"/>
    <w:rsid w:val="009050A0"/>
    <w:rsid w:val="00AA25BD"/>
    <w:rsid w:val="00F6132F"/>
    <w:rsid w:val="00F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596E"/>
  <w15:chartTrackingRefBased/>
  <w15:docId w15:val="{4BF1167F-70B1-4E24-BF5B-EEBC484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32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32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32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32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32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32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32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32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32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61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32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32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61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32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61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32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61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Bokgabo Tlhaku</dc:creator>
  <cp:keywords/>
  <dc:description/>
  <cp:lastModifiedBy>Bokgabo Tlhaku</cp:lastModifiedBy>
  <cp:revision>1</cp:revision>
  <dcterms:created xsi:type="dcterms:W3CDTF">2025-06-06T14:30:00Z</dcterms:created>
  <dcterms:modified xsi:type="dcterms:W3CDTF">2025-06-06T14:56:00Z</dcterms:modified>
</cp:coreProperties>
</file>